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8B2" w:rsidRPr="00AF5C61" w:rsidRDefault="00DD53C5">
      <w:pPr>
        <w:spacing w:line="100" w:lineRule="atLeast"/>
        <w:jc w:val="right"/>
        <w:rPr>
          <w:rFonts w:ascii="Corbel" w:hAnsi="Corbel" w:cs="Corbel"/>
          <w:b/>
          <w:smallCaps/>
        </w:rPr>
      </w:pPr>
      <w:bookmarkStart w:id="0" w:name="Bookmark"/>
      <w:bookmarkEnd w:id="0"/>
      <w:r w:rsidRPr="00AF5C61">
        <w:rPr>
          <w:rFonts w:ascii="Corbel" w:hAnsi="Corbel"/>
          <w:b/>
          <w:bCs/>
        </w:rPr>
        <w:t xml:space="preserve">   </w:t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/>
          <w:b/>
          <w:bCs/>
        </w:rPr>
        <w:tab/>
      </w:r>
      <w:r w:rsidRPr="00AF5C61">
        <w:rPr>
          <w:rFonts w:ascii="Corbel" w:hAnsi="Corbel" w:cs="Corbel"/>
          <w:bCs/>
          <w:i/>
        </w:rPr>
        <w:t>Załącznik nr 1.5 do Zarządzenia Rektora UR  nr 12/2019</w:t>
      </w:r>
    </w:p>
    <w:p w:rsidR="002558B2" w:rsidRPr="00AF5C61" w:rsidRDefault="00DD53C5">
      <w:pPr>
        <w:spacing w:after="0" w:line="100" w:lineRule="atLeast"/>
        <w:jc w:val="center"/>
        <w:rPr>
          <w:rFonts w:ascii="Corbel" w:hAnsi="Corbel" w:cs="Corbel"/>
          <w:b/>
          <w:smallCaps/>
        </w:rPr>
      </w:pPr>
      <w:r w:rsidRPr="00AF5C61">
        <w:rPr>
          <w:rFonts w:ascii="Corbel" w:hAnsi="Corbel" w:cs="Corbel"/>
          <w:b/>
          <w:smallCaps/>
        </w:rPr>
        <w:t>SYLABUS</w:t>
      </w:r>
    </w:p>
    <w:p w:rsidR="00B80FAA" w:rsidRDefault="00DD53C5">
      <w:pPr>
        <w:spacing w:after="0" w:line="240" w:lineRule="exact"/>
        <w:jc w:val="center"/>
        <w:rPr>
          <w:rFonts w:ascii="Corbel" w:hAnsi="Corbel" w:cs="Corbel"/>
          <w:b/>
          <w:smallCaps/>
        </w:rPr>
      </w:pPr>
      <w:r w:rsidRPr="00AF5C61">
        <w:rPr>
          <w:rFonts w:ascii="Corbel" w:hAnsi="Corbel" w:cs="Corbel"/>
          <w:b/>
          <w:smallCaps/>
        </w:rPr>
        <w:t xml:space="preserve">dotyczy cyklu kształcenia </w:t>
      </w:r>
      <w:r w:rsidR="00B80FAA">
        <w:rPr>
          <w:rFonts w:ascii="Corbel" w:hAnsi="Corbel"/>
          <w:b/>
          <w:smallCaps/>
          <w:sz w:val="24"/>
          <w:szCs w:val="24"/>
        </w:rPr>
        <w:t>2019/2020 - 2021/2022</w:t>
      </w:r>
    </w:p>
    <w:p w:rsidR="00B80FAA" w:rsidRDefault="00B80FAA" w:rsidP="00B80FAA">
      <w:pPr>
        <w:spacing w:after="0" w:line="240" w:lineRule="exact"/>
        <w:ind w:left="2832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:rsidR="002558B2" w:rsidRPr="00AF5C61" w:rsidRDefault="00DD53C5">
      <w:pPr>
        <w:spacing w:after="0" w:line="240" w:lineRule="exact"/>
        <w:jc w:val="center"/>
        <w:rPr>
          <w:rFonts w:ascii="Corbel" w:hAnsi="Corbel"/>
        </w:rPr>
      </w:pPr>
      <w:r w:rsidRPr="00AF5C61">
        <w:rPr>
          <w:rFonts w:ascii="Corbel" w:hAnsi="Corbel"/>
        </w:rPr>
        <w:t>Rok akademicki</w:t>
      </w:r>
      <w:r w:rsidR="00B80FAA">
        <w:rPr>
          <w:rFonts w:ascii="Corbel" w:hAnsi="Corbel"/>
          <w:sz w:val="24"/>
          <w:szCs w:val="24"/>
        </w:rPr>
        <w:t>2020/2021</w:t>
      </w:r>
      <w:bookmarkStart w:id="1" w:name="_GoBack"/>
      <w:bookmarkEnd w:id="1"/>
      <w:r w:rsidRPr="00AF5C61">
        <w:rPr>
          <w:rFonts w:ascii="Corbel" w:hAnsi="Corbel"/>
        </w:rPr>
        <w:tab/>
        <w:t xml:space="preserve">  </w:t>
      </w:r>
    </w:p>
    <w:p w:rsidR="002558B2" w:rsidRPr="00AF5C61" w:rsidRDefault="002558B2">
      <w:pPr>
        <w:spacing w:after="0" w:line="240" w:lineRule="exact"/>
        <w:jc w:val="center"/>
        <w:rPr>
          <w:rFonts w:ascii="Corbel" w:hAnsi="Corbel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t>1. Podstawowe informacje o przedmiocie</w:t>
      </w:r>
    </w:p>
    <w:tbl>
      <w:tblPr>
        <w:tblW w:w="0" w:type="auto"/>
        <w:tblInd w:w="-44" w:type="dxa"/>
        <w:tblLayout w:type="fixed"/>
        <w:tblLook w:val="0000" w:firstRow="0" w:lastRow="0" w:firstColumn="0" w:lastColumn="0" w:noHBand="0" w:noVBand="0"/>
      </w:tblPr>
      <w:tblGrid>
        <w:gridCol w:w="2693"/>
        <w:gridCol w:w="7107"/>
      </w:tblGrid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color w:val="auto"/>
                <w:sz w:val="22"/>
              </w:rPr>
              <w:t>Historia europejskiej myśli polityczno-prawnej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Kod przedmiotu*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PRA38</w:t>
            </w:r>
          </w:p>
        </w:tc>
      </w:tr>
      <w:tr w:rsidR="0078770F" w:rsidRPr="00AF5C61" w:rsidTr="00A71910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pStyle w:val="Pytania"/>
              <w:spacing w:before="0" w:after="0" w:line="240" w:lineRule="exact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jednostki prowadzącej kierunek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8770F" w:rsidRPr="00AF5C61" w:rsidRDefault="0078770F" w:rsidP="0078770F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Kolegium Nauk Społecznych</w:t>
            </w:r>
          </w:p>
        </w:tc>
      </w:tr>
      <w:tr w:rsidR="0078770F" w:rsidRPr="00AF5C61" w:rsidTr="0078770F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8770F" w:rsidRPr="00AF5C61" w:rsidRDefault="0078770F" w:rsidP="0078770F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Kolegium Nauk Społecznych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Administracja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Poziom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Studia I stopnia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Praktyczny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Niestacjonarne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Rok i semestr/y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 xml:space="preserve">Rok </w:t>
            </w:r>
            <w:r w:rsidRPr="00AF5C61">
              <w:rPr>
                <w:rFonts w:ascii="Corbel" w:hAnsi="Corbel" w:cs="Corbel"/>
                <w:b w:val="0"/>
                <w:sz w:val="22"/>
              </w:rPr>
              <w:t>II</w:t>
            </w: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, semestr III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Fakultatywny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before="100" w:after="10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z w:val="22"/>
              </w:rPr>
              <w:t>polski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dr hab. Artur Łuszczyński, prof. UR</w:t>
            </w:r>
          </w:p>
        </w:tc>
      </w:tr>
      <w:tr w:rsidR="002558B2" w:rsidRPr="00AF5C61"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ytania"/>
              <w:spacing w:before="100" w:after="100"/>
              <w:jc w:val="left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Odpowiedzi"/>
              <w:spacing w:line="240" w:lineRule="auto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 xml:space="preserve">dr Robert Zapart , dr Marcin Niemczyk, dr Marcin </w:t>
            </w:r>
            <w:proofErr w:type="spellStart"/>
            <w:r w:rsidRPr="00AF5C61">
              <w:rPr>
                <w:rFonts w:ascii="Corbel" w:hAnsi="Corbel" w:cs="Corbel"/>
                <w:b w:val="0"/>
                <w:color w:val="auto"/>
                <w:sz w:val="22"/>
              </w:rPr>
              <w:t>Merkwa</w:t>
            </w:r>
            <w:proofErr w:type="spellEnd"/>
          </w:p>
        </w:tc>
      </w:tr>
    </w:tbl>
    <w:p w:rsidR="002558B2" w:rsidRPr="00AF5C61" w:rsidRDefault="00DD53C5">
      <w:pPr>
        <w:pStyle w:val="Podpunkty"/>
        <w:spacing w:before="100" w:after="100"/>
        <w:ind w:left="0"/>
        <w:rPr>
          <w:rFonts w:ascii="Corbel" w:hAnsi="Corbel" w:cs="Corbel"/>
          <w:szCs w:val="22"/>
        </w:rPr>
      </w:pPr>
      <w:r w:rsidRPr="00AF5C61">
        <w:rPr>
          <w:rFonts w:ascii="Corbel" w:hAnsi="Corbel" w:cs="Corbel"/>
          <w:szCs w:val="22"/>
        </w:rPr>
        <w:t xml:space="preserve">* </w:t>
      </w:r>
      <w:r w:rsidRPr="00AF5C61">
        <w:rPr>
          <w:rFonts w:ascii="Corbel" w:hAnsi="Corbel" w:cs="Corbel"/>
          <w:i/>
          <w:szCs w:val="22"/>
        </w:rPr>
        <w:t>-</w:t>
      </w:r>
      <w:r w:rsidRPr="00AF5C61">
        <w:rPr>
          <w:rFonts w:ascii="Corbel" w:hAnsi="Corbel" w:cs="Corbel"/>
          <w:b w:val="0"/>
          <w:i/>
          <w:szCs w:val="22"/>
        </w:rPr>
        <w:t>opcjonalni</w:t>
      </w:r>
      <w:r w:rsidRPr="00AF5C61">
        <w:rPr>
          <w:rFonts w:ascii="Corbel" w:hAnsi="Corbel" w:cs="Corbel"/>
          <w:b w:val="0"/>
          <w:szCs w:val="22"/>
        </w:rPr>
        <w:t>e,</w:t>
      </w:r>
      <w:r w:rsidRPr="00AF5C61">
        <w:rPr>
          <w:rFonts w:ascii="Corbel" w:hAnsi="Corbel" w:cs="Corbel"/>
          <w:i/>
          <w:szCs w:val="22"/>
        </w:rPr>
        <w:t xml:space="preserve"> </w:t>
      </w:r>
      <w:r w:rsidRPr="00AF5C61">
        <w:rPr>
          <w:rFonts w:ascii="Corbel" w:hAnsi="Corbel" w:cs="Corbel"/>
          <w:b w:val="0"/>
          <w:i/>
          <w:szCs w:val="22"/>
        </w:rPr>
        <w:t>zgodnie z ustaleniami w Jednostce</w:t>
      </w:r>
    </w:p>
    <w:p w:rsidR="002558B2" w:rsidRPr="00AF5C61" w:rsidRDefault="002558B2">
      <w:pPr>
        <w:pStyle w:val="Podpunkty"/>
        <w:ind w:left="0"/>
        <w:rPr>
          <w:rFonts w:ascii="Corbel" w:hAnsi="Corbel" w:cs="Corbel"/>
          <w:szCs w:val="22"/>
        </w:rPr>
      </w:pPr>
    </w:p>
    <w:p w:rsidR="002558B2" w:rsidRPr="00AF5C61" w:rsidRDefault="00DD53C5">
      <w:pPr>
        <w:pStyle w:val="Podpunkty"/>
        <w:ind w:left="284"/>
        <w:rPr>
          <w:rFonts w:ascii="Corbel" w:hAnsi="Corbel" w:cs="Corbel"/>
          <w:szCs w:val="22"/>
        </w:rPr>
      </w:pPr>
      <w:r w:rsidRPr="00AF5C61">
        <w:rPr>
          <w:rFonts w:ascii="Corbel" w:hAnsi="Corbel" w:cs="Corbel"/>
          <w:szCs w:val="22"/>
        </w:rPr>
        <w:t xml:space="preserve">1.1.Formy zajęć dydaktycznych, wymiar godzin i punktów ECTS </w:t>
      </w:r>
    </w:p>
    <w:p w:rsidR="002558B2" w:rsidRPr="00AF5C61" w:rsidRDefault="002558B2">
      <w:pPr>
        <w:pStyle w:val="Podpunkty"/>
        <w:ind w:left="0"/>
        <w:rPr>
          <w:rFonts w:ascii="Corbel" w:hAnsi="Corbel" w:cs="Corbel"/>
          <w:szCs w:val="22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1048"/>
        <w:gridCol w:w="913"/>
        <w:gridCol w:w="787"/>
        <w:gridCol w:w="850"/>
        <w:gridCol w:w="801"/>
        <w:gridCol w:w="821"/>
        <w:gridCol w:w="762"/>
        <w:gridCol w:w="948"/>
        <w:gridCol w:w="1188"/>
        <w:gridCol w:w="1529"/>
      </w:tblGrid>
      <w:tr w:rsidR="002558B2" w:rsidRPr="00AF5C61" w:rsidTr="0078770F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Semestr</w:t>
            </w:r>
          </w:p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(nr)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Wykł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Konw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Sem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ZP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sz w:val="22"/>
              </w:rPr>
            </w:pPr>
            <w:proofErr w:type="spellStart"/>
            <w:r w:rsidRPr="00AF5C61">
              <w:rPr>
                <w:rFonts w:ascii="Corbel" w:hAnsi="Corbel" w:cs="Corbel"/>
                <w:sz w:val="22"/>
              </w:rPr>
              <w:t>Prakt</w:t>
            </w:r>
            <w:proofErr w:type="spellEnd"/>
            <w:r w:rsidRPr="00AF5C61">
              <w:rPr>
                <w:rFonts w:ascii="Corbel" w:hAnsi="Corbel" w:cs="Corbel"/>
                <w:sz w:val="22"/>
              </w:rPr>
              <w:t>.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 w:cs="Corbel"/>
                <w:b/>
                <w:sz w:val="22"/>
              </w:rPr>
            </w:pPr>
            <w:r w:rsidRPr="00AF5C61">
              <w:rPr>
                <w:rFonts w:ascii="Corbel" w:hAnsi="Corbel" w:cs="Corbel"/>
                <w:sz w:val="22"/>
              </w:rPr>
              <w:t>Inne (jakie?)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Nagwkitablic"/>
              <w:spacing w:after="0" w:line="100" w:lineRule="atLeast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/>
                <w:sz w:val="22"/>
              </w:rPr>
              <w:t>Liczba pkt. ECTS</w:t>
            </w:r>
          </w:p>
        </w:tc>
      </w:tr>
      <w:tr w:rsidR="002558B2" w:rsidRPr="00AF5C61" w:rsidTr="0078770F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18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2558B2" w:rsidP="0078770F">
            <w:pPr>
              <w:pStyle w:val="centralniewrubryce"/>
              <w:snapToGrid w:val="0"/>
              <w:spacing w:before="0" w:after="0"/>
              <w:rPr>
                <w:rFonts w:ascii="Corbel" w:hAnsi="Corbel" w:cs="Corbel"/>
                <w:sz w:val="22"/>
                <w:szCs w:val="22"/>
              </w:rPr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 w:rsidP="0078770F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3</w:t>
            </w:r>
          </w:p>
        </w:tc>
      </w:tr>
    </w:tbl>
    <w:p w:rsidR="002558B2" w:rsidRPr="00AF5C61" w:rsidRDefault="002558B2">
      <w:pPr>
        <w:pStyle w:val="Podpunkty"/>
        <w:rPr>
          <w:rFonts w:ascii="Corbel" w:hAnsi="Corbel" w:cs="Corbel"/>
          <w:b w:val="0"/>
          <w:szCs w:val="22"/>
        </w:rPr>
      </w:pPr>
    </w:p>
    <w:p w:rsidR="002558B2" w:rsidRPr="00AF5C61" w:rsidRDefault="00DD53C5">
      <w:pPr>
        <w:pStyle w:val="Punktygwne"/>
        <w:tabs>
          <w:tab w:val="left" w:pos="709"/>
        </w:tabs>
        <w:spacing w:before="0" w:after="0"/>
        <w:ind w:left="284"/>
        <w:rPr>
          <w:rFonts w:ascii="Corbel" w:eastAsia="MS Gothic" w:hAnsi="Corbel" w:cs="MS Gothic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1.2.</w:t>
      </w:r>
      <w:r w:rsidRPr="00AF5C61">
        <w:rPr>
          <w:rFonts w:ascii="Corbel" w:hAnsi="Corbel" w:cs="Corbel"/>
          <w:smallCaps w:val="0"/>
          <w:sz w:val="22"/>
        </w:rPr>
        <w:tab/>
        <w:t xml:space="preserve">Sposób realizacji zajęć  </w:t>
      </w:r>
    </w:p>
    <w:p w:rsidR="002558B2" w:rsidRPr="00AF5C61" w:rsidRDefault="00DD53C5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smallCaps w:val="0"/>
          <w:sz w:val="22"/>
        </w:rPr>
      </w:pPr>
      <w:r w:rsidRPr="00AF5C6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zajęcia w formie tradycyjnej </w:t>
      </w:r>
    </w:p>
    <w:p w:rsidR="002558B2" w:rsidRPr="00AF5C61" w:rsidRDefault="00DD53C5">
      <w:pPr>
        <w:pStyle w:val="Punktygwne"/>
        <w:spacing w:before="0" w:after="0"/>
        <w:ind w:left="709"/>
        <w:rPr>
          <w:rFonts w:ascii="Corbel" w:hAnsi="Corbel" w:cs="Corbel"/>
          <w:smallCaps w:val="0"/>
          <w:sz w:val="22"/>
        </w:rPr>
      </w:pPr>
      <w:r w:rsidRPr="00AF5C61">
        <w:rPr>
          <w:rFonts w:ascii="Corbel" w:eastAsia="MS Gothic" w:hAnsi="Corbel" w:cs="MS Gothic"/>
          <w:b w:val="0"/>
          <w:smallCaps w:val="0"/>
          <w:sz w:val="22"/>
        </w:rPr>
        <w:t>X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zajęcia realizowane z wykorzystaniem metod i technik kształcenia na odległość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cs="Corbel"/>
          <w:b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1.3 </w:t>
      </w:r>
      <w:r w:rsidRPr="00AF5C61">
        <w:rPr>
          <w:rFonts w:ascii="Corbel" w:hAnsi="Corbel" w:cs="Corbel"/>
          <w:smallCaps w:val="0"/>
          <w:sz w:val="22"/>
        </w:rPr>
        <w:tab/>
        <w:t xml:space="preserve">Forma zaliczenia przedmiotu  (z toku) </w:t>
      </w:r>
      <w:r w:rsidRPr="00AF5C61">
        <w:rPr>
          <w:rFonts w:ascii="Corbel" w:hAnsi="Corbel" w:cs="Corbel"/>
          <w:b w:val="0"/>
          <w:smallCaps w:val="0"/>
          <w:sz w:val="22"/>
        </w:rPr>
        <w:t>(egzamin, zaliczenie z oceną, zaliczenie bez oceny)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  <w:r w:rsidRPr="00AF5C61">
        <w:rPr>
          <w:rFonts w:ascii="Corbel" w:hAnsi="Corbel" w:cs="Corbel"/>
          <w:b w:val="0"/>
          <w:sz w:val="22"/>
        </w:rPr>
        <w:t>Zaliczenie z oceną (test z pytaniami otwartymi)</w:t>
      </w:r>
    </w:p>
    <w:p w:rsidR="00291062" w:rsidRDefault="0029106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t xml:space="preserve">2.Wymagania wstępne </w:t>
      </w:r>
    </w:p>
    <w:p w:rsidR="0078770F" w:rsidRPr="00AF5C61" w:rsidRDefault="0078770F">
      <w:pPr>
        <w:pStyle w:val="Punktygwne"/>
        <w:spacing w:before="0" w:after="0"/>
        <w:rPr>
          <w:rFonts w:ascii="Corbel" w:eastAsia="Cambria" w:hAnsi="Corbel" w:cs="Corbel"/>
          <w:b w:val="0"/>
          <w:smallCaps w:val="0"/>
          <w:color w:val="00000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40" w:after="40"/>
              <w:jc w:val="both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eastAsia="Cambria" w:hAnsi="Corbel" w:cs="Corbel"/>
                <w:b w:val="0"/>
                <w:smallCaps w:val="0"/>
                <w:color w:val="000000"/>
                <w:sz w:val="22"/>
              </w:rPr>
              <w:t>Student powinien posiadać podstawową wiedzę z zakresu nauki o państwie i prawie oraz historii. Powinien także posiadać umiejętność przyswajania i analizowania materiału historycznego oraz filozoficznego, a także analizy i wnioskowań humanistycznych.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z w:val="22"/>
        </w:rPr>
      </w:pPr>
      <w:r w:rsidRPr="00AF5C61">
        <w:rPr>
          <w:rFonts w:ascii="Corbel" w:hAnsi="Corbel" w:cs="Corbel"/>
          <w:sz w:val="22"/>
        </w:rPr>
        <w:lastRenderedPageBreak/>
        <w:t>3. cele, efekty uczenia się , treści Programowe i stosowane metody Dydaktyczne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z w:val="22"/>
        </w:rPr>
      </w:pPr>
    </w:p>
    <w:p w:rsidR="002558B2" w:rsidRPr="00AF5C61" w:rsidRDefault="00DD53C5">
      <w:pPr>
        <w:pStyle w:val="Podpunkty"/>
        <w:rPr>
          <w:rFonts w:ascii="Corbel" w:hAnsi="Corbel" w:cs="Corbel"/>
          <w:b w:val="0"/>
          <w:i/>
          <w:szCs w:val="22"/>
        </w:rPr>
      </w:pPr>
      <w:r w:rsidRPr="00AF5C61">
        <w:rPr>
          <w:rFonts w:ascii="Corbel" w:hAnsi="Corbel" w:cs="Corbel"/>
          <w:szCs w:val="22"/>
        </w:rPr>
        <w:t>3.1 Cele przedmiotu</w:t>
      </w:r>
    </w:p>
    <w:p w:rsidR="002558B2" w:rsidRPr="00AF5C61" w:rsidRDefault="002558B2">
      <w:pPr>
        <w:pStyle w:val="Podpunkty"/>
        <w:rPr>
          <w:rFonts w:ascii="Corbel" w:hAnsi="Corbel" w:cs="Corbel"/>
          <w:b w:val="0"/>
          <w:i/>
          <w:szCs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844"/>
        <w:gridCol w:w="8695"/>
      </w:tblGrid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 xml:space="preserve">C1 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Uzyskanie wiedzy obejmującej europejskie doktryny polityczno-prawne.</w:t>
            </w:r>
          </w:p>
        </w:tc>
      </w:tr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cs="Corbel"/>
                <w:i/>
                <w:sz w:val="22"/>
                <w:szCs w:val="22"/>
              </w:rPr>
            </w:pPr>
            <w:r w:rsidRPr="00AF5C61">
              <w:rPr>
                <w:rFonts w:ascii="Corbel" w:hAnsi="Corbel" w:cs="Corbel"/>
                <w:sz w:val="22"/>
                <w:szCs w:val="22"/>
              </w:rPr>
              <w:t>C2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Zrozumienie i krytyczna ocena doktrynalnych pojęć i źródeł instytucji politycznych i prawnych.</w:t>
            </w:r>
          </w:p>
        </w:tc>
      </w:tr>
      <w:tr w:rsidR="002558B2" w:rsidRPr="00AF5C61"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C3</w:t>
            </w:r>
          </w:p>
        </w:tc>
        <w:tc>
          <w:tcPr>
            <w:tcW w:w="8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Nabycie zdolności dokonania wykładni rozwiązań obowiązującego systemu politycznego i prawnego w kontekście ich doktrynalnego uzasadnienia.</w:t>
            </w:r>
          </w:p>
        </w:tc>
      </w:tr>
      <w:tr w:rsidR="002558B2" w:rsidRPr="00AF5C61"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 w:cs="Corbel"/>
                <w:b w:val="0"/>
                <w:i/>
                <w:szCs w:val="22"/>
              </w:rPr>
            </w:pPr>
            <w:r w:rsidRPr="00AF5C61">
              <w:rPr>
                <w:rFonts w:ascii="Corbel" w:hAnsi="Corbel"/>
                <w:b w:val="0"/>
                <w:szCs w:val="22"/>
              </w:rPr>
              <w:t>C4</w:t>
            </w:r>
          </w:p>
        </w:tc>
        <w:tc>
          <w:tcPr>
            <w:tcW w:w="8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Cs w:val="22"/>
              </w:rPr>
            </w:pPr>
            <w:r w:rsidRPr="00AF5C61">
              <w:rPr>
                <w:rFonts w:ascii="Corbel" w:hAnsi="Corbel" w:cs="Corbel"/>
                <w:b w:val="0"/>
                <w:szCs w:val="22"/>
              </w:rPr>
              <w:t>Poznanie koncepcyjnej genezy pojęć takich jak: prawa podmiotowe, godność, wolność, równość, własność, dobro wspólne, władza publiczna, demokracja, sprawiedliwość - poprzez ustalenie treści tych pojęć w dyskursie politycznym występującym w  różnych ujęciach (klasycznych, liberalnych, republikańskich, konserwatywnych socjalistycznych i socjaldemokratycznych oraz wywodzących się z katolickiej nauki społecznej).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color w:val="000000"/>
          <w:sz w:val="22"/>
        </w:rPr>
      </w:pPr>
    </w:p>
    <w:p w:rsidR="002558B2" w:rsidRPr="00AF5C61" w:rsidRDefault="00DD53C5">
      <w:pPr>
        <w:spacing w:after="0" w:line="100" w:lineRule="atLeast"/>
        <w:ind w:left="426"/>
        <w:rPr>
          <w:rFonts w:ascii="Corbel" w:hAnsi="Corbel" w:cs="Corbel"/>
        </w:rPr>
      </w:pPr>
      <w:r w:rsidRPr="00AF5C61">
        <w:rPr>
          <w:rFonts w:ascii="Corbel" w:hAnsi="Corbel" w:cs="Corbel"/>
          <w:b/>
        </w:rPr>
        <w:t>3.2 Efekty uczenia się dla przedmiotu</w:t>
      </w:r>
      <w:r w:rsidRPr="00AF5C61">
        <w:rPr>
          <w:rFonts w:ascii="Corbel" w:hAnsi="Corbel" w:cs="Corbel"/>
        </w:rPr>
        <w:t xml:space="preserve"> </w:t>
      </w:r>
    </w:p>
    <w:p w:rsidR="002558B2" w:rsidRPr="00AF5C61" w:rsidRDefault="002558B2">
      <w:pPr>
        <w:spacing w:after="0" w:line="100" w:lineRule="atLeast"/>
        <w:rPr>
          <w:rFonts w:ascii="Corbel" w:hAnsi="Corbel" w:cs="Corbel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680"/>
        <w:gridCol w:w="5974"/>
        <w:gridCol w:w="1886"/>
      </w:tblGrid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 (efekt uczenia się)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Treść efektu uczenia się zdefiniowanego dla przedmiotu 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Odniesienie do efektów  kierunkowych </w:t>
            </w:r>
            <w:r w:rsidRPr="00AF5C61">
              <w:rPr>
                <w:rStyle w:val="Odwoanieprzypisudolnego"/>
                <w:rFonts w:ascii="Corbel" w:hAnsi="Corbel"/>
                <w:sz w:val="22"/>
              </w:rPr>
              <w:footnoteReference w:id="1"/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Wymienia i charakteryzuje główne kierunki doktrynalne.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1</w:t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Definiuje i wyjaśnia podstawowe pojęcia jakimi posługują się twórcy doktryn polityczno-prawnych.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3</w:t>
            </w:r>
          </w:p>
        </w:tc>
      </w:tr>
      <w:tr w:rsidR="002558B2" w:rsidRPr="00AF5C61">
        <w:tc>
          <w:tcPr>
            <w:tcW w:w="1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_03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Wskazuje i dobiera, z uwzględnieniem koncepcyjnej genezy, doktrynalne źródła fundamentalnych pojęć i instytucji polityczno – prawnych.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K_W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8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Poddaje krytyce i porównuje poszczególne doktryny.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1</w:t>
            </w:r>
          </w:p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5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_05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Rozpoznaje twórców doktryn polityczno-prawnych na podstawie wybranych fragmentów tekstów źródłowych.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3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EK_06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Dyskutuje o pojęciach i instytucjach polityczno-prawnych.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K_U15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</w:t>
            </w: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softHyphen/>
              <w:t>_07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Zachowuje otwartość na różne poglądy i postawy.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</w:t>
            </w:r>
            <w:r w:rsidR="0078770F" w:rsidRPr="00AF5C61">
              <w:rPr>
                <w:rFonts w:ascii="Corbel" w:hAnsi="Corbel" w:cs="Corbel"/>
              </w:rPr>
              <w:t>0</w:t>
            </w:r>
            <w:r w:rsidRPr="00AF5C61">
              <w:rPr>
                <w:rFonts w:ascii="Corbel" w:hAnsi="Corbel" w:cs="Corbel"/>
              </w:rPr>
              <w:t>2</w:t>
            </w:r>
          </w:p>
        </w:tc>
      </w:tr>
      <w:tr w:rsidR="002558B2" w:rsidRPr="00AF5C61">
        <w:tc>
          <w:tcPr>
            <w:tcW w:w="16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pStyle w:val="Punktygwne"/>
              <w:spacing w:before="0" w:after="0"/>
              <w:rPr>
                <w:rFonts w:ascii="Corbel" w:hAnsi="Corbel" w:cs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EK_08</w:t>
            </w:r>
          </w:p>
        </w:tc>
        <w:tc>
          <w:tcPr>
            <w:tcW w:w="597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Posiada umiejętność rozumienia i analizowania zmian w ustawodawstwie prawnym, w szczególności prawno-administracyjnym kształtującym podstawowe stosunki społeczne.</w:t>
            </w:r>
          </w:p>
        </w:tc>
        <w:tc>
          <w:tcPr>
            <w:tcW w:w="18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spacing w:after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K_U10</w:t>
            </w:r>
          </w:p>
        </w:tc>
      </w:tr>
    </w:tbl>
    <w:p w:rsidR="00291062" w:rsidRDefault="00291062">
      <w:pPr>
        <w:pStyle w:val="Akapitzlist1"/>
        <w:spacing w:line="100" w:lineRule="atLeast"/>
        <w:ind w:left="426"/>
        <w:jc w:val="both"/>
        <w:rPr>
          <w:rFonts w:ascii="Corbel" w:hAnsi="Corbel" w:cs="Corbel"/>
          <w:b/>
        </w:rPr>
      </w:pPr>
    </w:p>
    <w:p w:rsidR="002558B2" w:rsidRPr="00AF5C61" w:rsidRDefault="00DD53C5">
      <w:pPr>
        <w:pStyle w:val="Akapitzlist1"/>
        <w:spacing w:line="100" w:lineRule="atLeast"/>
        <w:ind w:left="426"/>
        <w:jc w:val="both"/>
        <w:rPr>
          <w:rFonts w:ascii="Corbel" w:hAnsi="Corbel" w:cs="Corbel"/>
        </w:rPr>
      </w:pPr>
      <w:r w:rsidRPr="00AF5C61">
        <w:rPr>
          <w:rFonts w:ascii="Corbel" w:hAnsi="Corbel" w:cs="Corbel"/>
          <w:b/>
        </w:rPr>
        <w:t xml:space="preserve">3.3 Treści programowe </w:t>
      </w:r>
      <w:r w:rsidRPr="00AF5C61">
        <w:rPr>
          <w:rFonts w:ascii="Corbel" w:hAnsi="Corbel" w:cs="Corbel"/>
        </w:rPr>
        <w:t xml:space="preserve">  </w:t>
      </w:r>
    </w:p>
    <w:p w:rsidR="002558B2" w:rsidRPr="00AF5C61" w:rsidRDefault="00DD53C5">
      <w:pPr>
        <w:pStyle w:val="Akapitzlist1"/>
        <w:numPr>
          <w:ilvl w:val="0"/>
          <w:numId w:val="1"/>
        </w:numPr>
        <w:spacing w:after="120" w:line="100" w:lineRule="atLeast"/>
        <w:jc w:val="both"/>
        <w:rPr>
          <w:rFonts w:ascii="Corbel" w:hAnsi="Corbel" w:cs="Corbel"/>
        </w:rPr>
      </w:pPr>
      <w:r w:rsidRPr="00AF5C61">
        <w:rPr>
          <w:rFonts w:ascii="Corbel" w:hAnsi="Corbel" w:cs="Corbel"/>
        </w:rPr>
        <w:t xml:space="preserve">Problematyka wykładu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-250" w:firstLine="25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Treści merytoryczne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ind w:left="31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Przedmiot i zakres historii doktryn polityczno-prawnych, metody badawcze, rozwój oraz usytuowanie historii doktryn polityczno-prawnych pośród innych nauk.  Myśl polityczno-prawna starożytnej Grecji: sofiści, Sokrates, Platon, Arystoteles. - 3 godz.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ind w:left="31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Główne idee polityczno-prawne okresu hellenistycznego i starożytnego Rzymu: Cynicy, Epikureizm, Stoicy – 1 godz. 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lastRenderedPageBreak/>
              <w:t xml:space="preserve">Chrześcijańska koncepcja państwa i prawa do czasów średniowiecza: Jezus Chrystus, św. Paweł z </w:t>
            </w:r>
            <w:proofErr w:type="spellStart"/>
            <w:r w:rsidRPr="00AF5C61">
              <w:rPr>
                <w:rFonts w:ascii="Corbel" w:hAnsi="Corbel" w:cs="Corbel"/>
              </w:rPr>
              <w:t>Tarsu</w:t>
            </w:r>
            <w:proofErr w:type="spellEnd"/>
            <w:r w:rsidRPr="00AF5C61">
              <w:rPr>
                <w:rFonts w:ascii="Corbel" w:hAnsi="Corbel" w:cs="Corbel"/>
              </w:rPr>
              <w:t>, św. Augustyn, św. Tomasz z Akwinu - 4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Myśl polityczno-prawna epoki renesansu: N.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Machiavelli, M.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Luter,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Kalwin,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Bodin,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proofErr w:type="spellStart"/>
            <w:r w:rsidRPr="00AF5C61">
              <w:rPr>
                <w:rFonts w:ascii="Corbel" w:hAnsi="Corbel" w:cs="Corbel"/>
              </w:rPr>
              <w:t>More</w:t>
            </w:r>
            <w:proofErr w:type="spellEnd"/>
            <w:r w:rsidRPr="00AF5C61">
              <w:rPr>
                <w:rFonts w:ascii="Corbel" w:hAnsi="Corbel" w:cs="Corbel"/>
              </w:rPr>
              <w:t>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Campanella, Fr.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Bacon, P.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Włodkowic - 3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Polityczno-prawne doktryny XVII–XVIII wieku: H.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Grocjusz, T.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Hobbes, 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proofErr w:type="spellStart"/>
            <w:r w:rsidRPr="00AF5C61">
              <w:rPr>
                <w:rFonts w:ascii="Corbel" w:hAnsi="Corbel" w:cs="Corbel"/>
              </w:rPr>
              <w:t>Locke</w:t>
            </w:r>
            <w:proofErr w:type="spellEnd"/>
            <w:r w:rsidRPr="00AF5C61">
              <w:rPr>
                <w:rFonts w:ascii="Corbel" w:hAnsi="Corbel" w:cs="Corbel"/>
              </w:rPr>
              <w:t>, Monteskiusz, J.J.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Rousseau – 3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widowControl w:val="0"/>
              <w:autoSpaceDE w:val="0"/>
              <w:spacing w:after="0" w:line="360" w:lineRule="auto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Doktryny polityczno-prawne wieku XIX: I.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Kant, G.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W.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>F.</w:t>
            </w:r>
            <w:r w:rsidR="0078770F" w:rsidRPr="00AF5C61">
              <w:rPr>
                <w:rFonts w:ascii="Corbel" w:hAnsi="Corbel" w:cs="Corbel"/>
              </w:rPr>
              <w:t xml:space="preserve"> </w:t>
            </w:r>
            <w:r w:rsidRPr="00AF5C61">
              <w:rPr>
                <w:rFonts w:ascii="Corbel" w:hAnsi="Corbel" w:cs="Corbel"/>
              </w:rPr>
              <w:t xml:space="preserve">Hegel, liberalizm, pozytywizm, myśl społeczna Kościoła </w:t>
            </w:r>
            <w:proofErr w:type="spellStart"/>
            <w:r w:rsidRPr="00AF5C61">
              <w:rPr>
                <w:rFonts w:ascii="Corbel" w:hAnsi="Corbel" w:cs="Corbel"/>
              </w:rPr>
              <w:t>rzymkokatolickiego</w:t>
            </w:r>
            <w:proofErr w:type="spellEnd"/>
            <w:r w:rsidRPr="00AF5C61">
              <w:rPr>
                <w:rFonts w:ascii="Corbel" w:hAnsi="Corbel" w:cs="Corbel"/>
              </w:rPr>
              <w:t xml:space="preserve"> (Leon XIII), solidaryzm, anarchizm, socjalizm utopijny i naukowy - 2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 w:rsidP="0078770F">
            <w:pPr>
              <w:widowControl w:val="0"/>
              <w:autoSpaceDE w:val="0"/>
              <w:spacing w:after="0" w:line="360" w:lineRule="auto"/>
              <w:ind w:left="37" w:hanging="6"/>
              <w:jc w:val="both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Doktryny polityczno-prawne wieku XX: idea państwa dobrobytu, teoria konwergencji, myśl społeczno-polityczna Kościoła rzymskokatolickiego, faszyzm, nazizm, liberalizm - 2 godz.</w:t>
            </w:r>
          </w:p>
        </w:tc>
      </w:tr>
      <w:tr w:rsidR="002558B2" w:rsidRPr="00AF5C61">
        <w:tc>
          <w:tcPr>
            <w:tcW w:w="95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widowControl w:val="0"/>
              <w:autoSpaceDE w:val="0"/>
              <w:spacing w:after="0" w:line="360" w:lineRule="auto"/>
              <w:ind w:left="314" w:hanging="283"/>
              <w:jc w:val="both"/>
              <w:rPr>
                <w:rFonts w:ascii="Corbel" w:hAnsi="Corbel"/>
                <w:b/>
              </w:rPr>
            </w:pPr>
            <w:r w:rsidRPr="00AF5C61">
              <w:rPr>
                <w:rFonts w:ascii="Corbel" w:hAnsi="Corbel" w:cs="Corbel"/>
                <w:b/>
              </w:rPr>
              <w:t>Suma godzin</w:t>
            </w:r>
            <w:r w:rsidR="00DD53C5" w:rsidRPr="00AF5C61">
              <w:rPr>
                <w:rFonts w:ascii="Corbel" w:hAnsi="Corbel" w:cs="Corbel"/>
                <w:b/>
              </w:rPr>
              <w:t>: 18 godz.</w:t>
            </w:r>
          </w:p>
        </w:tc>
      </w:tr>
    </w:tbl>
    <w:p w:rsidR="002558B2" w:rsidRPr="00AF5C61" w:rsidRDefault="002558B2">
      <w:pPr>
        <w:spacing w:after="0" w:line="100" w:lineRule="atLeast"/>
        <w:rPr>
          <w:rFonts w:ascii="Corbel" w:hAnsi="Corbel" w:cs="Corbel"/>
        </w:rPr>
      </w:pPr>
    </w:p>
    <w:p w:rsidR="002558B2" w:rsidRPr="00AF5C61" w:rsidRDefault="00DD53C5">
      <w:pPr>
        <w:pStyle w:val="Akapitzlist1"/>
        <w:numPr>
          <w:ilvl w:val="0"/>
          <w:numId w:val="1"/>
        </w:numPr>
        <w:spacing w:line="100" w:lineRule="atLeast"/>
        <w:jc w:val="both"/>
        <w:rPr>
          <w:rFonts w:ascii="Corbel" w:hAnsi="Corbel" w:cs="Corbel"/>
        </w:rPr>
      </w:pPr>
      <w:r w:rsidRPr="00AF5C61">
        <w:rPr>
          <w:rFonts w:ascii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708" w:hanging="708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Treści merytoryczne</w:t>
            </w:r>
          </w:p>
        </w:tc>
      </w:tr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Akapitzlist1"/>
              <w:snapToGrid w:val="0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-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z w:val="22"/>
        </w:rPr>
      </w:pPr>
    </w:p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3.4 Metody dydaktyczne</w:t>
      </w:r>
      <w:r w:rsidRPr="00AF5C61">
        <w:rPr>
          <w:rFonts w:ascii="Corbel" w:hAnsi="Corbel" w:cs="Corbel"/>
          <w:b w:val="0"/>
          <w:smallCaps w:val="0"/>
          <w:sz w:val="22"/>
        </w:rPr>
        <w:t xml:space="preserve">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>Np</w:t>
      </w:r>
      <w:r w:rsidRPr="00AF5C61">
        <w:rPr>
          <w:rFonts w:ascii="Corbel" w:hAnsi="Corbel" w:cs="Corbel"/>
          <w:sz w:val="22"/>
        </w:rPr>
        <w:t xml:space="preserve">.: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AF5C61">
        <w:rPr>
          <w:rFonts w:ascii="Corbel" w:hAnsi="Corbel" w:cs="Corbel"/>
          <w:b w:val="0"/>
          <w:i/>
          <w:sz w:val="22"/>
        </w:rPr>
        <w:t xml:space="preserve"> </w:t>
      </w: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Wykład: wykład problemowy, wykład z prezentacją multimedialną, metody kształcenia na odległość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b w:val="0"/>
          <w:i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Ćwiczenia: analiza tekstów z dyskusją, metoda projektów (projekt badawczy, wdrożeniowy, praktyczny), praca w grupach (rozwiązywanie zadań, dyskusja),gry dydaktyczne, metody kształcenia na odległość </w:t>
      </w: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 xml:space="preserve">Laboratorium: wykonywanie doświadczeń, projektowanie doświadczeń </w:t>
      </w:r>
    </w:p>
    <w:p w:rsidR="002558B2" w:rsidRPr="00AF5C61" w:rsidRDefault="002558B2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jc w:val="both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>Wykład: wykład prezentujący normatywne treści doktryn wraz z analizą i interpretacją tekstów źródłowych (z wykorzystaniem prezentacji multimedialnej)</w:t>
      </w:r>
    </w:p>
    <w:p w:rsidR="00291062" w:rsidRDefault="0029106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4. METODY I KRYTERIA OCENY </w:t>
      </w:r>
    </w:p>
    <w:p w:rsidR="002558B2" w:rsidRPr="00AF5C61" w:rsidRDefault="002558B2">
      <w:pPr>
        <w:pStyle w:val="Punktygwne"/>
        <w:tabs>
          <w:tab w:val="left" w:pos="284"/>
        </w:tabs>
        <w:spacing w:before="0" w:after="0"/>
        <w:rPr>
          <w:rFonts w:ascii="Corbel" w:hAnsi="Corbel" w:cs="Corbel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4.1 Sposoby weryfikacji efektów uczenia się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1962"/>
        <w:gridCol w:w="5440"/>
        <w:gridCol w:w="2138"/>
      </w:tblGrid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(np.: kolokwium, egzamin ustny, egzamin pisemny, projekt, sprawozdanie, obserwacja w trakcie zajęć)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2558B2" w:rsidRPr="00AF5C61" w:rsidRDefault="00DD53C5">
            <w:pPr>
              <w:pStyle w:val="Punktygwne"/>
              <w:spacing w:before="0" w:after="0"/>
              <w:jc w:val="center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(w, </w:t>
            </w:r>
            <w:proofErr w:type="spellStart"/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ćw</w:t>
            </w:r>
            <w:proofErr w:type="spellEnd"/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, …)</w:t>
            </w:r>
          </w:p>
        </w:tc>
      </w:tr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 xml:space="preserve">_ 01 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zaliczenie pisemne,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03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04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05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r w:rsidRPr="00AF5C61">
              <w:rPr>
                <w:rFonts w:ascii="Corbel" w:hAnsi="Corbel"/>
                <w:b w:val="0"/>
                <w:sz w:val="22"/>
              </w:rPr>
              <w:t>Ek_ 06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07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  <w:tr w:rsidR="002558B2" w:rsidRPr="00AF5C61">
        <w:tc>
          <w:tcPr>
            <w:tcW w:w="196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/>
                <w:sz w:val="22"/>
              </w:rPr>
            </w:pPr>
            <w:proofErr w:type="spellStart"/>
            <w:r w:rsidRPr="00AF5C61">
              <w:rPr>
                <w:rFonts w:ascii="Corbel" w:hAnsi="Corbel"/>
                <w:b w:val="0"/>
                <w:sz w:val="22"/>
              </w:rPr>
              <w:t>ek</w:t>
            </w:r>
            <w:proofErr w:type="spellEnd"/>
            <w:r w:rsidRPr="00AF5C61">
              <w:rPr>
                <w:rFonts w:ascii="Corbel" w:hAnsi="Corbel"/>
                <w:b w:val="0"/>
                <w:sz w:val="22"/>
              </w:rPr>
              <w:t>_ 08</w:t>
            </w:r>
          </w:p>
        </w:tc>
        <w:tc>
          <w:tcPr>
            <w:tcW w:w="5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zaliczenie pisemne, obserwacja w trakcie zajęć</w:t>
            </w:r>
          </w:p>
        </w:tc>
        <w:tc>
          <w:tcPr>
            <w:tcW w:w="21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rPr>
                <w:rFonts w:ascii="Corbel" w:hAnsi="Corbel"/>
              </w:rPr>
            </w:pPr>
            <w:r w:rsidRPr="00AF5C61">
              <w:rPr>
                <w:rFonts w:ascii="Corbel" w:hAnsi="Corbel"/>
              </w:rPr>
              <w:t>w.</w:t>
            </w:r>
          </w:p>
        </w:tc>
      </w:tr>
    </w:tbl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291062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  <w:r>
        <w:rPr>
          <w:rFonts w:ascii="Corbel" w:hAnsi="Corbel" w:cs="Corbel"/>
          <w:smallCaps w:val="0"/>
          <w:sz w:val="22"/>
        </w:rPr>
        <w:br w:type="column"/>
      </w:r>
      <w:r w:rsidR="00DD53C5" w:rsidRPr="00AF5C61">
        <w:rPr>
          <w:rFonts w:ascii="Corbel" w:hAnsi="Corbel" w:cs="Corbel"/>
          <w:smallCaps w:val="0"/>
          <w:sz w:val="22"/>
        </w:rPr>
        <w:lastRenderedPageBreak/>
        <w:t xml:space="preserve">4.2 Warunki zaliczenia przedmiotu (kryteria oceniania) </w:t>
      </w:r>
    </w:p>
    <w:p w:rsidR="002558B2" w:rsidRPr="00AF5C61" w:rsidRDefault="002558B2">
      <w:pPr>
        <w:pStyle w:val="Punktygwne"/>
        <w:spacing w:before="0" w:after="0"/>
        <w:ind w:left="426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9540"/>
      </w:tblGrid>
      <w:tr w:rsidR="002558B2" w:rsidRPr="00AF5C61"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Zaliczenie pisemne, z wykorzystaniem testu jednokrotnego wyboru. W części testowej student wybiera prawidłową odpowiedź z co najmniej czterech zaproponowanych. Arkusz egzaminacyjny zawiera także pytanie/a otwarte.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 xml:space="preserve">Pytania obejmują wiedzę dotyczącą poglądów reprezentowanych przez szkoły doktrynalne lub poszczególnych myślicieli (mogą dotyczyć także ich biografii oraz twórczości). Dotyczą także znajomości i doktrynalnej przynależności tekstów źródłowych, najważniejszych wydarzeń oraz pojęć historycznych mających wpływ lub związanych z doktrynami polityczno-prawnymi. 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Dopuszczalne jest dokonanie przez studenta korekty udzielonej odpowiedzi z zastrzeżeniem iż musi to zostać uczynione w sposób nie budzący wątpliwości.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Za prawidłową odpowiedź student otrzymuje 1 punkt, nie stosuje się punktacji ułamkowej. Pytanie/a otwarte oceniane są w skali od 1 do 5 punktów (w zależności od poziomu trudności pytania). Student udziela odpowiedzi bezpośrednio na arkuszu z pytaniami testowymi. Liczba pytań wynosi od 10 do 20. Stosuje się podział na grupy. Czas trwania egzaminu zależny jest od liczby pytań. Student ma 1 minutę na udzielenie odpowiedzi na jedno pytanie testowe a na udzielenie odpowiedzi na pytanie otwarte student ma od 1 do 10 minut (w zależności od poziomu trudności pytania).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Minimalny próg zaliczenia wynosi 60 % maksymalnej liczby punktów.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Termin zaliczenia zostaje ustalony w uzgodnieniu ze studentami z uwzględnieniem kalendarza roku akademickiego oraz harmonogramu sesji egzaminacyjnej.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Dopuszczalne jest przystąpienie do zaliczenia przed sesją egzaminacyjną, w tzw. terminie zerowym.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>W szczególnie uzasadnionych przypadkach dopuszczalne jest przystąpienie do zaliczenia w formie ustnej.</w:t>
            </w:r>
          </w:p>
          <w:p w:rsidR="002558B2" w:rsidRPr="00AF5C61" w:rsidRDefault="00DD53C5">
            <w:pPr>
              <w:numPr>
                <w:ilvl w:val="0"/>
                <w:numId w:val="2"/>
              </w:numPr>
              <w:spacing w:after="0" w:line="240" w:lineRule="auto"/>
              <w:ind w:left="176" w:hanging="176"/>
              <w:jc w:val="both"/>
              <w:rPr>
                <w:rFonts w:ascii="Corbel" w:hAnsi="Corbel" w:cs="Corbel"/>
              </w:rPr>
            </w:pPr>
            <w:r w:rsidRPr="00AF5C61">
              <w:rPr>
                <w:rFonts w:ascii="Corbel" w:eastAsia="Cambria" w:hAnsi="Corbel" w:cs="Corbel"/>
              </w:rPr>
              <w:t>Dopuszcza się ogłoszenie wyników zaliczenia, poprzez umieszczenie stosownej informacji na stronie internetowej (z zachowaniem zasad anonimowości).</w:t>
            </w:r>
          </w:p>
          <w:p w:rsidR="002558B2" w:rsidRPr="00AF5C61" w:rsidRDefault="002558B2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</w:p>
        </w:tc>
      </w:tr>
    </w:tbl>
    <w:p w:rsidR="0078770F" w:rsidRPr="00AF5C61" w:rsidRDefault="0078770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 w:rsidP="0078770F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sz w:val="22"/>
        </w:rPr>
        <w:t xml:space="preserve">5. CAŁKOWITY NAKŁAD PRACY STUDENTA POTRZEBNY DO OSIĄGNIĘCIA ZAŁOŻONYCH EFEKTÓW W GODZINACH ORAZ PUNKTACH ECTS 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tbl>
      <w:tblPr>
        <w:tblW w:w="0" w:type="auto"/>
        <w:tblInd w:w="99" w:type="dxa"/>
        <w:tblLayout w:type="fixed"/>
        <w:tblLook w:val="0000" w:firstRow="0" w:lastRow="0" w:firstColumn="0" w:lastColumn="0" w:noHBand="0" w:noVBand="0"/>
      </w:tblPr>
      <w:tblGrid>
        <w:gridCol w:w="4901"/>
        <w:gridCol w:w="4638"/>
      </w:tblGrid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 w:cs="Corbel"/>
                <w:b/>
              </w:rPr>
            </w:pPr>
            <w:r w:rsidRPr="00AF5C61">
              <w:rPr>
                <w:rFonts w:ascii="Corbel" w:hAnsi="Corbel" w:cs="Corbel"/>
                <w:b/>
              </w:rPr>
              <w:t>Forma aktywności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jc w:val="center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  <w:b/>
              </w:rPr>
              <w:t>Średnia liczba godzin na zrealizowanie aktywności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Godziny kontaktowe wynikające z harmonogramu studiów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Wykład – 18 godzin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Inne z udziałem nauczyciela akademickiego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(udział w konsultacjach, egzaminie)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Udział w konsultacjach – 7 godz.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Udział w zaliczeniu – 1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Godziny niekontaktowe – praca własna studenta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(przygotowanie do zajęć, egzaminu, napisanie referatu itp.)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 xml:space="preserve">Przygotowanie do zaliczenia – 35 godz. </w:t>
            </w:r>
          </w:p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Lektura tekstów źródłowych – 16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</w:rPr>
              <w:t>SUMA GODZIN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 xml:space="preserve">77 godz. </w:t>
            </w:r>
          </w:p>
        </w:tc>
      </w:tr>
      <w:tr w:rsidR="002558B2" w:rsidRPr="00AF5C61"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 w:cs="Corbel"/>
              </w:rPr>
            </w:pPr>
            <w:r w:rsidRPr="00AF5C61">
              <w:rPr>
                <w:rFonts w:ascii="Corbel" w:hAnsi="Corbel" w:cs="Corbel"/>
                <w:b/>
              </w:rPr>
              <w:t>SUMARYCZNA LICZBA PUNKTÓW ECTS</w:t>
            </w:r>
          </w:p>
        </w:tc>
        <w:tc>
          <w:tcPr>
            <w:tcW w:w="4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Akapitzlist1"/>
              <w:spacing w:after="0" w:line="100" w:lineRule="atLeast"/>
              <w:ind w:left="0"/>
              <w:rPr>
                <w:rFonts w:ascii="Corbel" w:hAnsi="Corbel"/>
              </w:rPr>
            </w:pPr>
            <w:r w:rsidRPr="00AF5C61">
              <w:rPr>
                <w:rFonts w:ascii="Corbel" w:hAnsi="Corbel" w:cs="Corbel"/>
              </w:rPr>
              <w:t>3</w:t>
            </w:r>
          </w:p>
        </w:tc>
      </w:tr>
    </w:tbl>
    <w:p w:rsidR="002558B2" w:rsidRPr="00AF5C61" w:rsidRDefault="00DD53C5">
      <w:pPr>
        <w:pStyle w:val="Punktygwne"/>
        <w:spacing w:before="0" w:after="0"/>
        <w:ind w:left="426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i/>
          <w:smallCaps w:val="0"/>
          <w:sz w:val="22"/>
        </w:rPr>
        <w:t>* Należy uwzględnić, że 1 pkt ECTS odpowiada 25-30 godzin całkowitego nakładu pracy studenta.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>6. PRAKTYKI ZAWODOWE W RAMACH PRZEDMIOTU</w:t>
      </w:r>
    </w:p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543"/>
        <w:gridCol w:w="3989"/>
      </w:tblGrid>
      <w:tr w:rsidR="002558B2" w:rsidRPr="00AF5C61" w:rsidTr="0078770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color w:val="000000"/>
                <w:sz w:val="22"/>
              </w:rPr>
              <w:t>Nie dotyczy</w:t>
            </w:r>
          </w:p>
        </w:tc>
      </w:tr>
      <w:tr w:rsidR="002558B2" w:rsidRPr="00AF5C61" w:rsidTr="0078770F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78770F">
            <w:pPr>
              <w:pStyle w:val="Punktygwne"/>
              <w:snapToGrid w:val="0"/>
              <w:spacing w:before="0" w:after="0"/>
              <w:rPr>
                <w:rFonts w:ascii="Corbel" w:hAnsi="Corbel" w:cs="Corbel"/>
                <w:b w:val="0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b w:val="0"/>
                <w:smallCaps w:val="0"/>
                <w:sz w:val="22"/>
              </w:rPr>
              <w:t>Nie dotyczy</w:t>
            </w:r>
          </w:p>
        </w:tc>
      </w:tr>
    </w:tbl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DD53C5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  <w:r w:rsidRPr="00AF5C61">
        <w:rPr>
          <w:rFonts w:ascii="Corbel" w:hAnsi="Corbel" w:cs="Corbel"/>
          <w:smallCaps w:val="0"/>
          <w:sz w:val="22"/>
        </w:rPr>
        <w:t xml:space="preserve">7. LITERATURA </w:t>
      </w:r>
    </w:p>
    <w:p w:rsidR="002558B2" w:rsidRPr="00AF5C61" w:rsidRDefault="002558B2">
      <w:pPr>
        <w:pStyle w:val="Punktygwne"/>
        <w:spacing w:before="0" w:after="0"/>
        <w:rPr>
          <w:rFonts w:ascii="Corbel" w:hAnsi="Corbel" w:cs="Corbel"/>
          <w:smallCaps w:val="0"/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533"/>
      </w:tblGrid>
      <w:tr w:rsidR="002558B2" w:rsidRPr="00AF5C61" w:rsidTr="0078770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t>Literatura podstawowa:</w:t>
            </w:r>
          </w:p>
          <w:p w:rsidR="0078770F" w:rsidRPr="00AF5C61" w:rsidRDefault="0078770F">
            <w:pPr>
              <w:pStyle w:val="Punktygwne"/>
              <w:spacing w:before="0" w:after="0"/>
              <w:rPr>
                <w:rFonts w:ascii="Corbel" w:eastAsia="Cambria" w:hAnsi="Corbel" w:cs="Corbel"/>
                <w:sz w:val="22"/>
              </w:rPr>
            </w:pPr>
          </w:p>
          <w:p w:rsidR="002558B2" w:rsidRPr="00AF5C61" w:rsidRDefault="00DD53C5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 w:cs="Corbel"/>
                <w:color w:val="000000"/>
              </w:rPr>
            </w:pPr>
            <w:r w:rsidRPr="00AF5C61">
              <w:rPr>
                <w:rFonts w:ascii="Corbel" w:eastAsia="Cambria" w:hAnsi="Corbel" w:cs="Corbel"/>
              </w:rPr>
              <w:t>L.</w:t>
            </w:r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r w:rsidRPr="00AF5C61">
              <w:rPr>
                <w:rFonts w:ascii="Corbel" w:eastAsia="Cambria" w:hAnsi="Corbel" w:cs="Corbel"/>
              </w:rPr>
              <w:t xml:space="preserve">Dubel: </w:t>
            </w:r>
            <w:r w:rsidRPr="00AF5C61">
              <w:rPr>
                <w:rFonts w:ascii="Corbel" w:eastAsia="Cambria" w:hAnsi="Corbel" w:cs="Corbel"/>
                <w:i/>
              </w:rPr>
              <w:t>Historia doktryn politycznych i prawnych do schyłku XX wieku</w:t>
            </w:r>
            <w:r w:rsidRPr="00AF5C61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AF5C61">
              <w:rPr>
                <w:rFonts w:ascii="Corbel" w:eastAsia="Cambria" w:hAnsi="Corbel" w:cs="Corbel"/>
              </w:rPr>
              <w:t>Lexis</w:t>
            </w:r>
            <w:proofErr w:type="spellEnd"/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</w:rPr>
              <w:t>Nexis</w:t>
            </w:r>
            <w:proofErr w:type="spellEnd"/>
            <w:r w:rsidRPr="00AF5C61">
              <w:rPr>
                <w:rFonts w:ascii="Corbel" w:eastAsia="Cambria" w:hAnsi="Corbel" w:cs="Corbel"/>
              </w:rPr>
              <w:t>", Warszawa 2012.</w:t>
            </w:r>
          </w:p>
          <w:p w:rsidR="002558B2" w:rsidRPr="00AF5C61" w:rsidRDefault="00DD53C5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</w:rPr>
            </w:pPr>
            <w:r w:rsidRPr="00AF5C61">
              <w:rPr>
                <w:rFonts w:ascii="Corbel" w:eastAsia="Cambria" w:hAnsi="Corbel" w:cs="Corbel"/>
                <w:color w:val="000000"/>
              </w:rPr>
              <w:lastRenderedPageBreak/>
              <w:t>L.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>Dubel, J.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Kostrubiec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, G.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Ławnikowicz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, M.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>Łuszczyńska, W.</w:t>
            </w:r>
            <w:r w:rsidR="0078770F" w:rsidRPr="00AF5C61">
              <w:rPr>
                <w:rFonts w:ascii="Corbel" w:eastAsia="Cambria" w:hAnsi="Corbel" w:cs="Corbel"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color w:val="000000"/>
              </w:rPr>
              <w:t xml:space="preserve">Więcław: </w:t>
            </w:r>
            <w:r w:rsidRPr="00AF5C61">
              <w:rPr>
                <w:rFonts w:ascii="Corbel" w:eastAsia="Cambria" w:hAnsi="Corbel" w:cs="Corbel"/>
                <w:i/>
                <w:color w:val="000000"/>
              </w:rPr>
              <w:t>Historia doktryn politycznych i prawnych do początku XX wieku, Materiały źródłowe</w:t>
            </w:r>
            <w:r w:rsidRPr="00AF5C61">
              <w:rPr>
                <w:rFonts w:ascii="Corbel" w:eastAsia="Cambria" w:hAnsi="Corbel" w:cs="Corbel"/>
                <w:color w:val="000000"/>
              </w:rPr>
              <w:t xml:space="preserve">, Wydawnictwo Uniwersytetu Marii </w:t>
            </w:r>
            <w:proofErr w:type="spellStart"/>
            <w:r w:rsidRPr="00AF5C61">
              <w:rPr>
                <w:rFonts w:ascii="Corbel" w:eastAsia="Cambria" w:hAnsi="Corbel" w:cs="Corbel"/>
                <w:color w:val="000000"/>
              </w:rPr>
              <w:t>Currie</w:t>
            </w:r>
            <w:proofErr w:type="spellEnd"/>
            <w:r w:rsidRPr="00AF5C61">
              <w:rPr>
                <w:rFonts w:ascii="Corbel" w:eastAsia="Cambria" w:hAnsi="Corbel" w:cs="Corbel"/>
                <w:color w:val="000000"/>
              </w:rPr>
              <w:t>-Skłodowskiej, Lublin 2003.</w:t>
            </w:r>
          </w:p>
        </w:tc>
      </w:tr>
      <w:tr w:rsidR="002558B2" w:rsidRPr="00AF5C61" w:rsidTr="0078770F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58B2" w:rsidRPr="00AF5C61" w:rsidRDefault="00DD53C5">
            <w:pPr>
              <w:pStyle w:val="Punktygwne"/>
              <w:spacing w:before="0" w:after="0"/>
              <w:rPr>
                <w:rFonts w:ascii="Corbel" w:hAnsi="Corbel" w:cs="Corbel"/>
                <w:smallCaps w:val="0"/>
                <w:sz w:val="22"/>
              </w:rPr>
            </w:pPr>
            <w:r w:rsidRPr="00AF5C61">
              <w:rPr>
                <w:rFonts w:ascii="Corbel" w:hAnsi="Corbel" w:cs="Corbel"/>
                <w:smallCaps w:val="0"/>
                <w:sz w:val="22"/>
              </w:rPr>
              <w:lastRenderedPageBreak/>
              <w:t xml:space="preserve">Literatura uzupełniająca: </w:t>
            </w:r>
          </w:p>
          <w:p w:rsidR="0078770F" w:rsidRPr="00AF5C61" w:rsidRDefault="0078770F">
            <w:pPr>
              <w:pStyle w:val="Punktygwne"/>
              <w:spacing w:before="0" w:after="0"/>
              <w:rPr>
                <w:rFonts w:ascii="Corbel" w:eastAsia="Cambria" w:hAnsi="Corbel" w:cs="Corbel"/>
                <w:sz w:val="22"/>
              </w:rPr>
            </w:pP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317" w:hanging="317"/>
              <w:jc w:val="both"/>
              <w:rPr>
                <w:rFonts w:ascii="Corbel" w:eastAsia="Cambria" w:hAnsi="Corbel" w:cs="Corbel"/>
              </w:rPr>
            </w:pPr>
            <w:r w:rsidRPr="00AF5C61">
              <w:rPr>
                <w:rFonts w:ascii="Corbel" w:eastAsia="Cambria" w:hAnsi="Corbel" w:cs="Corbel"/>
              </w:rPr>
              <w:t xml:space="preserve">Andrzej Sylwestrzak: </w:t>
            </w:r>
            <w:r w:rsidRPr="00AF5C61">
              <w:rPr>
                <w:rFonts w:ascii="Corbel" w:eastAsia="Cambria" w:hAnsi="Corbel" w:cs="Corbel"/>
                <w:i/>
              </w:rPr>
              <w:t>Historia doktryn politycznych i prawnych</w:t>
            </w:r>
            <w:r w:rsidRPr="00AF5C61">
              <w:rPr>
                <w:rFonts w:ascii="Corbel" w:eastAsia="Cambria" w:hAnsi="Corbel" w:cs="Corbel"/>
              </w:rPr>
              <w:t>, Wydawnictwo „</w:t>
            </w:r>
            <w:proofErr w:type="spellStart"/>
            <w:r w:rsidRPr="00AF5C61">
              <w:rPr>
                <w:rFonts w:ascii="Corbel" w:eastAsia="Cambria" w:hAnsi="Corbel" w:cs="Corbel"/>
              </w:rPr>
              <w:t>Lexis</w:t>
            </w:r>
            <w:proofErr w:type="spellEnd"/>
            <w:r w:rsidR="0078770F" w:rsidRPr="00AF5C61">
              <w:rPr>
                <w:rFonts w:ascii="Corbel" w:eastAsia="Cambria" w:hAnsi="Corbel" w:cs="Corbel"/>
              </w:rPr>
              <w:t xml:space="preserve"> </w:t>
            </w:r>
            <w:proofErr w:type="spellStart"/>
            <w:r w:rsidRPr="00AF5C61">
              <w:rPr>
                <w:rFonts w:ascii="Corbel" w:eastAsia="Cambria" w:hAnsi="Corbel" w:cs="Corbel"/>
              </w:rPr>
              <w:t>Nexis</w:t>
            </w:r>
            <w:proofErr w:type="spellEnd"/>
            <w:r w:rsidRPr="00AF5C61">
              <w:rPr>
                <w:rFonts w:ascii="Corbel" w:eastAsia="Cambria" w:hAnsi="Corbel" w:cs="Corbel"/>
              </w:rPr>
              <w:t>", Warszawa 2013.</w:t>
            </w: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Corbel" w:eastAsia="Cambria" w:hAnsi="Corbel" w:cs="Corbel"/>
                <w:i/>
                <w:color w:val="000000"/>
              </w:rPr>
            </w:pPr>
            <w:r w:rsidRPr="00AF5C61">
              <w:rPr>
                <w:rFonts w:ascii="Corbel" w:eastAsia="Cambria" w:hAnsi="Corbel" w:cs="Corbel"/>
              </w:rPr>
              <w:t xml:space="preserve">Henryk Olszewski, Maria </w:t>
            </w:r>
            <w:proofErr w:type="spellStart"/>
            <w:r w:rsidRPr="00AF5C61">
              <w:rPr>
                <w:rFonts w:ascii="Corbel" w:eastAsia="Cambria" w:hAnsi="Corbel" w:cs="Corbel"/>
              </w:rPr>
              <w:t>Zmierczak</w:t>
            </w:r>
            <w:proofErr w:type="spellEnd"/>
            <w:r w:rsidRPr="00AF5C61">
              <w:rPr>
                <w:rFonts w:ascii="Corbel" w:eastAsia="Cambria" w:hAnsi="Corbel" w:cs="Corbel"/>
              </w:rPr>
              <w:t xml:space="preserve">: </w:t>
            </w:r>
            <w:r w:rsidRPr="00AF5C61">
              <w:rPr>
                <w:rFonts w:ascii="Corbel" w:eastAsia="Cambria" w:hAnsi="Corbel" w:cs="Corbel"/>
                <w:i/>
              </w:rPr>
              <w:t xml:space="preserve">Historia doktryn politycznych i prawnych, Wydawnictwo „Ars Boni et </w:t>
            </w:r>
            <w:proofErr w:type="spellStart"/>
            <w:r w:rsidRPr="00AF5C61">
              <w:rPr>
                <w:rFonts w:ascii="Corbel" w:eastAsia="Cambria" w:hAnsi="Corbel" w:cs="Corbel"/>
                <w:i/>
              </w:rPr>
              <w:t>Aequi</w:t>
            </w:r>
            <w:proofErr w:type="spellEnd"/>
            <w:r w:rsidRPr="00AF5C61">
              <w:rPr>
                <w:rFonts w:ascii="Corbel" w:eastAsia="Cambria" w:hAnsi="Corbel" w:cs="Corbel"/>
                <w:i/>
              </w:rPr>
              <w:t>"</w:t>
            </w:r>
            <w:r w:rsidRPr="00AF5C61">
              <w:rPr>
                <w:rFonts w:ascii="Corbel" w:eastAsia="Cambria" w:hAnsi="Corbel" w:cs="Corbel"/>
              </w:rPr>
              <w:t>, Poznań 2001.</w:t>
            </w:r>
          </w:p>
          <w:p w:rsidR="002558B2" w:rsidRPr="00AF5C61" w:rsidRDefault="00DD53C5">
            <w:pPr>
              <w:numPr>
                <w:ilvl w:val="0"/>
                <w:numId w:val="4"/>
              </w:numPr>
              <w:spacing w:after="0" w:line="240" w:lineRule="auto"/>
              <w:ind w:left="284" w:hanging="284"/>
              <w:jc w:val="both"/>
              <w:rPr>
                <w:rFonts w:ascii="Corbel" w:hAnsi="Corbel"/>
              </w:rPr>
            </w:pPr>
            <w:r w:rsidRPr="00AF5C61">
              <w:rPr>
                <w:rFonts w:ascii="Corbel" w:eastAsia="Cambria" w:hAnsi="Corbel" w:cs="Corbel"/>
                <w:i/>
                <w:color w:val="000000"/>
              </w:rPr>
              <w:t>M.</w:t>
            </w:r>
            <w:r w:rsidR="0078770F" w:rsidRPr="00AF5C61">
              <w:rPr>
                <w:rFonts w:ascii="Corbel" w:eastAsia="Cambria" w:hAnsi="Corbel" w:cs="Corbel"/>
                <w:i/>
                <w:color w:val="000000"/>
              </w:rPr>
              <w:t xml:space="preserve"> </w:t>
            </w:r>
            <w:r w:rsidRPr="00AF5C61">
              <w:rPr>
                <w:rFonts w:ascii="Corbel" w:eastAsia="Cambria" w:hAnsi="Corbel" w:cs="Corbel"/>
                <w:i/>
                <w:color w:val="000000"/>
              </w:rPr>
              <w:t>Jaskólski (red.): Słownik historii doktryn politycznych, T. 1-5, Wydawnictwo Sejmowe, Warszawa 2007.</w:t>
            </w:r>
          </w:p>
        </w:tc>
      </w:tr>
    </w:tbl>
    <w:p w:rsidR="002558B2" w:rsidRPr="00AF5C61" w:rsidRDefault="002558B2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</w:p>
    <w:p w:rsidR="002558B2" w:rsidRPr="00AF5C61" w:rsidRDefault="0078770F">
      <w:pPr>
        <w:pStyle w:val="Punktygwne"/>
        <w:spacing w:before="0" w:after="0"/>
        <w:ind w:left="360"/>
        <w:rPr>
          <w:rFonts w:ascii="Corbel" w:hAnsi="Corbel" w:cs="Corbel"/>
          <w:b w:val="0"/>
          <w:smallCaps w:val="0"/>
          <w:sz w:val="22"/>
        </w:rPr>
      </w:pPr>
      <w:r w:rsidRPr="00AF5C61">
        <w:rPr>
          <w:rFonts w:ascii="Corbel" w:hAnsi="Corbel" w:cs="Corbel"/>
          <w:b w:val="0"/>
          <w:smallCaps w:val="0"/>
          <w:sz w:val="22"/>
        </w:rPr>
        <w:t xml:space="preserve">Akceptacja Kierownika Jednostki lub osoby upoważnionej </w:t>
      </w:r>
    </w:p>
    <w:sectPr w:rsidR="002558B2" w:rsidRPr="00AF5C61" w:rsidSect="00291062">
      <w:pgSz w:w="11906" w:h="16838"/>
      <w:pgMar w:top="568" w:right="1134" w:bottom="709" w:left="1134" w:header="708" w:footer="708" w:gutter="0"/>
      <w:cols w:space="708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2FBF" w:rsidRDefault="00532FBF">
      <w:pPr>
        <w:spacing w:after="0" w:line="240" w:lineRule="auto"/>
      </w:pPr>
      <w:r>
        <w:separator/>
      </w:r>
    </w:p>
  </w:endnote>
  <w:endnote w:type="continuationSeparator" w:id="0">
    <w:p w:rsidR="00532FBF" w:rsidRDefault="00532F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2FBF" w:rsidRDefault="00532FBF">
      <w:pPr>
        <w:spacing w:after="0" w:line="240" w:lineRule="auto"/>
      </w:pPr>
      <w:r>
        <w:separator/>
      </w:r>
    </w:p>
  </w:footnote>
  <w:footnote w:type="continuationSeparator" w:id="0">
    <w:p w:rsidR="00532FBF" w:rsidRDefault="00532FBF">
      <w:pPr>
        <w:spacing w:after="0" w:line="240" w:lineRule="auto"/>
      </w:pPr>
      <w:r>
        <w:continuationSeparator/>
      </w:r>
    </w:p>
  </w:footnote>
  <w:footnote w:id="1">
    <w:p w:rsidR="002558B2" w:rsidRPr="00291062" w:rsidRDefault="00DD53C5" w:rsidP="0078770F">
      <w:pPr>
        <w:rPr>
          <w:sz w:val="18"/>
        </w:rPr>
      </w:pPr>
      <w:r w:rsidRPr="0078770F">
        <w:rPr>
          <w:rStyle w:val="Znakiprzypiswdolnych"/>
          <w:rFonts w:ascii="Times New Roman" w:hAnsi="Times New Roman"/>
          <w:vertAlign w:val="superscript"/>
        </w:rPr>
        <w:footnoteRef/>
      </w:r>
      <w:r w:rsidR="0078770F">
        <w:t xml:space="preserve"> </w:t>
      </w:r>
      <w:r w:rsidRPr="00291062">
        <w:rPr>
          <w:sz w:val="18"/>
        </w:rPr>
        <w:t xml:space="preserve">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40" w:hanging="18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aps w:val="0"/>
        <w:smallCaps w:val="0"/>
      </w:rPr>
    </w:lvl>
  </w:abstractNum>
  <w:abstractNum w:abstractNumId="2" w15:restartNumberingAfterBreak="0">
    <w:nsid w:val="00000003"/>
    <w:multiLevelType w:val="singleLevel"/>
    <w:tmpl w:val="A9E4403C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caps w:val="0"/>
        <w:smallCaps w:val="0"/>
      </w:rPr>
    </w:lvl>
  </w:abstractNum>
  <w:abstractNum w:abstractNumId="3" w15:restartNumberingAfterBreak="0">
    <w:nsid w:val="00000004"/>
    <w:multiLevelType w:val="singleLevel"/>
    <w:tmpl w:val="B09E367A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orbel" w:hAnsi="Corbel" w:cs="Times New Roman" w:hint="default"/>
        <w:b w:val="0"/>
        <w:caps w:val="0"/>
        <w:smallCaps w:val="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70F"/>
    <w:rsid w:val="000E1301"/>
    <w:rsid w:val="002558B2"/>
    <w:rsid w:val="00291062"/>
    <w:rsid w:val="00532FBF"/>
    <w:rsid w:val="0078770F"/>
    <w:rsid w:val="00AF5C61"/>
    <w:rsid w:val="00B80FAA"/>
    <w:rsid w:val="00CE5CF6"/>
    <w:rsid w:val="00DD53C5"/>
    <w:rsid w:val="00DE7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19952D7E"/>
  <w15:chartTrackingRefBased/>
  <w15:docId w15:val="{693A3C74-BC2B-418E-90FC-1F7C3CE75B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caps w:val="0"/>
      <w:smallCaps w:val="0"/>
    </w:rPr>
  </w:style>
  <w:style w:type="character" w:customStyle="1" w:styleId="WW8Num3z0">
    <w:name w:val="WW8Num3z0"/>
    <w:rPr>
      <w:rFonts w:ascii="Times New Roman" w:hAnsi="Times New Roman" w:cs="Times New Roman" w:hint="default"/>
      <w:caps w:val="0"/>
      <w:smallCaps w:val="0"/>
    </w:rPr>
  </w:style>
  <w:style w:type="character" w:customStyle="1" w:styleId="WW8Num4z0">
    <w:name w:val="WW8Num4z0"/>
    <w:rPr>
      <w:rFonts w:cs="Times New Roman"/>
      <w:b w:val="0"/>
      <w:caps w:val="0"/>
      <w:smallCaps w:val="0"/>
    </w:rPr>
  </w:style>
  <w:style w:type="character" w:customStyle="1" w:styleId="WW8Num5z0">
    <w:name w:val="WW8Num5z0"/>
    <w:rPr>
      <w:rFonts w:ascii="Times New Roman" w:hAnsi="Times New Roman" w:cs="Times New Roman" w:hint="default"/>
      <w:caps w:val="0"/>
      <w:smallCaps w:val="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 w:hint="default"/>
      <w:b w:val="0"/>
      <w:i w:val="0"/>
      <w:sz w:val="20"/>
      <w:szCs w:val="2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Domylnaczcionkaakapitu1">
    <w:name w:val="Domyślna czcionka akapitu1"/>
  </w:style>
  <w:style w:type="character" w:customStyle="1" w:styleId="TytuZnak">
    <w:name w:val="Tytuł Znak"/>
    <w:rPr>
      <w:rFonts w:eastAsia="Times New Roman"/>
      <w:b/>
      <w:bCs/>
    </w:rPr>
  </w:style>
  <w:style w:type="character" w:customStyle="1" w:styleId="TekstdymkaZnak">
    <w:name w:val="Tekst dymka Znak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rPr>
      <w:rFonts w:ascii="Calibri" w:eastAsia="Calibri" w:hAnsi="Calibri" w:cs="Calibri"/>
      <w:sz w:val="22"/>
      <w:szCs w:val="22"/>
    </w:rPr>
  </w:style>
  <w:style w:type="character" w:customStyle="1" w:styleId="TekstprzypisudolnegoZnak">
    <w:name w:val="Tekst przypisu dolnego Znak"/>
    <w:rPr>
      <w:rFonts w:ascii="Calibri" w:hAnsi="Calibri" w:cs="Times New Roman"/>
      <w:sz w:val="20"/>
      <w:szCs w:val="20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TekstpodstawowyZnak">
    <w:name w:val="Tekst podstawowy Znak"/>
    <w:rPr>
      <w:rFonts w:ascii="Calibri" w:eastAsia="Calibri" w:hAnsi="Calibri" w:cs="Calibri"/>
      <w:sz w:val="22"/>
      <w:szCs w:val="22"/>
    </w:rPr>
  </w:style>
  <w:style w:type="character" w:customStyle="1" w:styleId="Numerstrony1">
    <w:name w:val="Numer strony1"/>
    <w:basedOn w:val="Domylnaczcionkaakapitu1"/>
  </w:style>
  <w:style w:type="character" w:styleId="Hipercze">
    <w:name w:val="Hyperlink"/>
    <w:rPr>
      <w:color w:val="0000FF"/>
      <w:u w:val="single"/>
    </w:rPr>
  </w:style>
  <w:style w:type="character" w:customStyle="1" w:styleId="Znakiprzypiswdolnych">
    <w:name w:val="Znaki przypisów dolnych"/>
  </w:style>
  <w:style w:type="character" w:styleId="Odwoanieprzypisudolnego">
    <w:name w:val="footnote reference"/>
    <w:rPr>
      <w:vertAlign w:val="superscript"/>
    </w:rPr>
  </w:style>
  <w:style w:type="character" w:customStyle="1" w:styleId="WW8Num7z0">
    <w:name w:val="WW8Num7z0"/>
    <w:rPr>
      <w:rFonts w:cs="Times New Roman"/>
      <w:b w:val="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styleId="Odwoanieprzypisukocowego">
    <w:name w:val="endnote reference"/>
    <w:rPr>
      <w:vertAlign w:val="superscript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ytu">
    <w:name w:val="Title"/>
    <w:basedOn w:val="Normalny"/>
    <w:next w:val="Podtytu"/>
    <w:qFormat/>
    <w:pPr>
      <w:spacing w:after="0" w:line="100" w:lineRule="atLeast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"/>
    <w:next w:val="Tekstpodstawowy"/>
    <w:qFormat/>
    <w:pPr>
      <w:jc w:val="center"/>
    </w:pPr>
    <w:rPr>
      <w:i/>
      <w:iCs/>
    </w:rPr>
  </w:style>
  <w:style w:type="paragraph" w:customStyle="1" w:styleId="Tekstdymka1">
    <w:name w:val="Tekst dymka1"/>
    <w:basedOn w:val="Normalny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styleId="Nagwek">
    <w:name w:val="head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styleId="Stopka">
    <w:name w:val="footer"/>
    <w:basedOn w:val="Normalny"/>
    <w:pPr>
      <w:suppressLineNumbers/>
      <w:tabs>
        <w:tab w:val="center" w:pos="4536"/>
        <w:tab w:val="right" w:pos="9072"/>
      </w:tabs>
      <w:spacing w:after="0" w:line="100" w:lineRule="atLeast"/>
    </w:pPr>
  </w:style>
  <w:style w:type="paragraph" w:customStyle="1" w:styleId="Default">
    <w:name w:val="Default"/>
    <w:pPr>
      <w:suppressAutoHyphens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Tekstprzypisudolnego1">
    <w:name w:val="Tekst przypisu dolnego1"/>
    <w:basedOn w:val="Normalny"/>
    <w:pPr>
      <w:spacing w:after="0" w:line="100" w:lineRule="atLeast"/>
    </w:pPr>
    <w:rPr>
      <w:sz w:val="20"/>
      <w:szCs w:val="20"/>
    </w:rPr>
  </w:style>
  <w:style w:type="paragraph" w:customStyle="1" w:styleId="Punktygwne">
    <w:name w:val="Punkty główne"/>
    <w:basedOn w:val="Normalny"/>
    <w:pPr>
      <w:spacing w:before="240" w:after="60" w:line="100" w:lineRule="atLeast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pPr>
      <w:tabs>
        <w:tab w:val="left" w:pos="-5643"/>
      </w:tabs>
      <w:spacing w:before="40" w:after="40" w:line="100" w:lineRule="atLeas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pPr>
      <w:spacing w:before="40" w:after="40" w:line="100" w:lineRule="atLeast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pPr>
      <w:tabs>
        <w:tab w:val="left" w:pos="-5814"/>
      </w:tabs>
      <w:spacing w:after="0" w:line="100" w:lineRule="atLeast"/>
      <w:ind w:left="360"/>
      <w:jc w:val="both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pPr>
      <w:tabs>
        <w:tab w:val="left" w:pos="-5814"/>
        <w:tab w:val="left" w:pos="720"/>
      </w:tabs>
      <w:spacing w:before="120" w:after="0" w:line="100" w:lineRule="atLeast"/>
      <w:ind w:left="900" w:hanging="54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pPr>
      <w:tabs>
        <w:tab w:val="left" w:pos="-5814"/>
      </w:tabs>
      <w:spacing w:before="40" w:after="40" w:line="100" w:lineRule="atLeast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Tekstprzypisudolnego">
    <w:name w:val="footnote text"/>
    <w:basedOn w:val="Normalny"/>
    <w:pPr>
      <w:suppressLineNumbers/>
      <w:ind w:left="283" w:hanging="283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1365</Words>
  <Characters>8196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6</cp:revision>
  <cp:lastPrinted>2019-02-06T11:12:00Z</cp:lastPrinted>
  <dcterms:created xsi:type="dcterms:W3CDTF">2021-04-09T10:20:00Z</dcterms:created>
  <dcterms:modified xsi:type="dcterms:W3CDTF">2021-04-26T10:41:00Z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